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C8EC7">
      <w:pPr>
        <w:widowControl/>
        <w:jc w:val="center"/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44"/>
          <w:szCs w:val="44"/>
        </w:rPr>
      </w:pPr>
    </w:p>
    <w:p w14:paraId="1EBE2E81">
      <w:pPr>
        <w:widowControl/>
        <w:jc w:val="center"/>
        <w:rPr>
          <w:rFonts w:hint="eastAsia" w:ascii="等线" w:hAnsi="等线" w:eastAsia="等线" w:cs="宋体"/>
          <w:b/>
          <w:bCs/>
          <w:color w:val="3B3838" w:themeColor="background2" w:themeShade="40"/>
          <w:kern w:val="0"/>
          <w:sz w:val="44"/>
          <w:szCs w:val="44"/>
        </w:rPr>
      </w:pPr>
      <w:r>
        <w:rPr>
          <w:rFonts w:hint="eastAsia" w:ascii="等线" w:hAnsi="等线" w:eastAsia="等线" w:cs="宋体"/>
          <w:b/>
          <w:bCs/>
          <w:color w:val="3B3838" w:themeColor="background2" w:themeShade="40"/>
          <w:kern w:val="0"/>
          <w:sz w:val="44"/>
          <w:szCs w:val="44"/>
        </w:rPr>
        <w:t>Product Specifications</w:t>
      </w:r>
    </w:p>
    <w:p w14:paraId="010AC5E9">
      <w:pPr>
        <w:widowControl/>
        <w:jc w:val="center"/>
        <w:rPr>
          <w:rFonts w:hint="eastAsia" w:ascii="等线" w:hAnsi="等线" w:eastAsia="等线" w:cs="宋体"/>
          <w:b/>
          <w:bCs/>
          <w:color w:val="3B3838" w:themeColor="background2" w:themeShade="40"/>
          <w:kern w:val="0"/>
          <w:sz w:val="44"/>
          <w:szCs w:val="44"/>
        </w:rPr>
      </w:pPr>
    </w:p>
    <w:p w14:paraId="15573438">
      <w:pPr>
        <w:widowControl/>
        <w:jc w:val="center"/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44"/>
          <w:szCs w:val="44"/>
        </w:rPr>
      </w:pPr>
    </w:p>
    <w:p w14:paraId="4D7B0124">
      <w:pPr>
        <w:widowControl/>
        <w:jc w:val="center"/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</w:rPr>
      </w:pPr>
      <w:r>
        <w:rPr>
          <w:rFonts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67310</wp:posOffset>
            </wp:positionH>
            <wp:positionV relativeFrom="paragraph">
              <wp:posOffset>321945</wp:posOffset>
            </wp:positionV>
            <wp:extent cx="2700655" cy="948055"/>
            <wp:effectExtent l="0" t="0" r="4445" b="4445"/>
            <wp:wrapSquare wrapText="bothSides"/>
            <wp:docPr id="29617506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75067" name="图片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</w:rPr>
        <w:t>2.5G 8-Port Gigabit 4-Port 10 Gigabit L3 Managed Commercial</w:t>
      </w:r>
      <w:r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</w:rPr>
        <w:t>Switch(SR-S25G3412F)</w:t>
      </w:r>
      <w:r>
        <w:rPr>
          <w:rFonts w:ascii="等线" w:hAnsi="等线" w:eastAsia="等线" w:cs="宋体"/>
          <w:b/>
          <w:bCs/>
          <w:color w:val="2F5597" w:themeColor="accent1" w:themeShade="BF"/>
          <w:kern w:val="0"/>
          <w:sz w:val="32"/>
          <w:szCs w:val="32"/>
        </w:rPr>
        <w:t xml:space="preserve">                           </w:t>
      </w:r>
    </w:p>
    <w:p w14:paraId="02E79B49">
      <w:pPr>
        <w:widowControl/>
        <w:jc w:val="center"/>
        <w:rPr>
          <w:rFonts w:hint="eastAsia" w:ascii="等线" w:hAnsi="等线" w:eastAsia="等线" w:cs="宋体"/>
          <w:b/>
          <w:bCs/>
          <w:color w:val="262626" w:themeColor="text1" w:themeTint="D9"/>
          <w:kern w:val="0"/>
          <w:sz w:val="32"/>
          <w:szCs w:val="32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0A3CE92F">
      <w:pPr>
        <w:rPr>
          <w:rFonts w:hint="eastAsia"/>
        </w:rPr>
      </w:pPr>
    </w:p>
    <w:p w14:paraId="5DCA6340">
      <w:pPr>
        <w:tabs>
          <w:tab w:val="left" w:pos="6990"/>
        </w:tabs>
        <w:spacing w:line="720" w:lineRule="auto"/>
        <w:rPr>
          <w:rFonts w:hint="eastAsia"/>
          <w:b/>
          <w:bCs/>
          <w:color w:val="2F5597" w:themeColor="accent1" w:themeShade="BF"/>
          <w:sz w:val="24"/>
          <w:szCs w:val="24"/>
          <w:u w:val="single"/>
        </w:rPr>
      </w:pP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417195</wp:posOffset>
                </wp:positionV>
                <wp:extent cx="4737735" cy="6985"/>
                <wp:effectExtent l="0" t="0" r="24765" b="31115"/>
                <wp:wrapNone/>
                <wp:docPr id="152413216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7934" cy="706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51.2pt;margin-top:32.85pt;height:0.55pt;width:373.05pt;z-index:251661312;mso-width-relative:page;mso-height-relative:page;" filled="f" stroked="t" coordsize="21600,21600" o:gfxdata="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fnMN6tYAAAAJAQAADwAAAAAAAAABACAAAAAiAAAAZHJzL2Rvd25yZXYueG1sUEsBAhQA&#10;FAAAAAgAh07iQNuWZvP0AQAAvgMAAA4AAAAAAAAAAQAgAAAAJQEAAGRycy9lMm9Eb2MueG1sUEsF&#10;BgAAAAAGAAYAWQEAAIsFAAAAAA==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180975</wp:posOffset>
                </wp:positionV>
                <wp:extent cx="1313180" cy="238125"/>
                <wp:effectExtent l="6350" t="6350" r="13970" b="22225"/>
                <wp:wrapNone/>
                <wp:docPr id="1790853887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3180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" o:spid="_x0000_s1026" o:spt="109" type="#_x0000_t109" style="position:absolute;left:0pt;margin-left:-3pt;margin-top:14.25pt;height:18.75pt;width:103.4pt;z-index:-251656192;v-text-anchor:middle;mso-width-relative:page;mso-height-relative:page;" fillcolor="#4472C4 [3204]" filled="t" stroked="t" coordsize="21600,21600" o:gfxdata="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Gaw4wrTAAAACAEAAA8AAAAAAAAAAQAgAAAAIgAAAGRycy9kb3ducmV2LnhtbFBLAQIUABQA&#10;AAAIAIdO4kDHo3YloAIAADUFAAAOAAAAAAAAAAEAIAAAACIBAABkcnMvZTJvRG9jLnhtbFBLBQYA&#10;AAAABgAGAFkBAAA0BgAAAAA=&#10;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>Product Overview</w: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ab/>
      </w:r>
    </w:p>
    <w:p w14:paraId="4C4A6A20">
      <w:pPr>
        <w:spacing w:line="360" w:lineRule="auto"/>
        <w:rPr>
          <w:rFonts w:hint="eastAsia"/>
        </w:rPr>
      </w:pPr>
      <w:r>
        <w:rPr>
          <w:rFonts w:hint="eastAsia"/>
        </w:rPr>
        <w:t xml:space="preserve">The SR-S25G3412F series is an L3 managed switch equipped with 8 x 2.5G RJ45 ports, 4 x 10G optical ports, and 1 x Console port. Designed to meet the networking needs of growing enterprises, it features a comprehensive suite of management and security functions. These cost-effective devices provide an ideal solution for various network scenarios in small and medium-sized businesses. </w:t>
      </w:r>
    </w:p>
    <w:p w14:paraId="150E1C5F">
      <w:pPr>
        <w:spacing w:line="360" w:lineRule="auto"/>
        <w:rPr>
          <w:rFonts w:hint="eastAsia"/>
        </w:rPr>
      </w:pPr>
    </w:p>
    <w:p w14:paraId="15942FCB">
      <w:pPr>
        <w:spacing w:line="360" w:lineRule="auto"/>
        <w:rPr>
          <w:rFonts w:hint="eastAsia"/>
        </w:rPr>
      </w:pPr>
      <w:r>
        <w:rPr>
          <w:rFonts w:hint="eastAsia"/>
        </w:rPr>
        <w:t>The SR-S25G3412F supports comprehensive Layer 3 management capabilities, including SNMP, ACL, IPv6, LACP load balancing, static routing, 802.1Q VLAN, port isolation, port mirroring, QoS, and storm control. The system employs a new hardware and software platform, delivering innovative technical features and solutions for secure access policies, multi-service support, and simplified management and maintenance. It provides high throughput for the most demanding network edge workgroups while serving as a backbone Gigabit switch and high-speed server backbone in small networks.</w:t>
      </w:r>
    </w:p>
    <w:p w14:paraId="70FA2ED9">
      <w:pPr>
        <w:spacing w:line="360" w:lineRule="auto"/>
        <w:rPr>
          <w:rFonts w:hint="eastAsia"/>
        </w:rPr>
      </w:pPr>
    </w:p>
    <w:p w14:paraId="48E42C33">
      <w:pPr>
        <w:spacing w:line="720" w:lineRule="auto"/>
        <w:rPr>
          <w:rFonts w:hint="eastAsia"/>
          <w:b/>
          <w:bCs/>
          <w:color w:val="2F5597" w:themeColor="accent1" w:themeShade="BF"/>
          <w:sz w:val="24"/>
          <w:szCs w:val="24"/>
          <w:u w:val="single"/>
        </w:rPr>
      </w:pP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417195</wp:posOffset>
                </wp:positionV>
                <wp:extent cx="4737735" cy="6985"/>
                <wp:effectExtent l="0" t="0" r="24765" b="31115"/>
                <wp:wrapNone/>
                <wp:docPr id="834334085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7934" cy="706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51.2pt;margin-top:32.85pt;height:0.55pt;width:373.05pt;z-index:251663360;mso-width-relative:page;mso-height-relative:page;" filled="f" stroked="t" coordsize="21600,21600" o:gfxdata="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+cw3q1gAAAAkBAAAPAAAAAAAAAAEAIAAAACIAAABkcnMvZG93bnJldi54bWxQSwECFAAU&#10;AAAACACHTuJAHMTjiPMBAAC9AwAADgAAAAAAAAABACAAAAAlAQAAZHJzL2Uyb0RvYy54bWxQSwUG&#10;AAAAAAYABgBZAQAAigUAAAAA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180975</wp:posOffset>
                </wp:positionV>
                <wp:extent cx="1246505" cy="238125"/>
                <wp:effectExtent l="6350" t="6350" r="23495" b="22225"/>
                <wp:wrapNone/>
                <wp:docPr id="1824879027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505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" o:spid="_x0000_s1026" o:spt="109" type="#_x0000_t109" style="position:absolute;left:0pt;margin-left:-3pt;margin-top:14.25pt;height:18.75pt;width:98.15pt;z-index:-251654144;v-text-anchor:middle;mso-width-relative:page;mso-height-relative:page;" fillcolor="#4472C4 [3204]" filled="t" stroked="t" coordsize="21600,21600" o:gfxdata="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sXKP8tQAAAAIAQAADwAAAAAAAAABACAAAAAiAAAAZHJzL2Rvd25yZXYueG1sUEsBAhQA&#10;FAAAAAgAh07iQGnhzu+hAgAANQUAAA4AAAAAAAAAAQAgAAAAIwEAAGRycy9lMm9Eb2MueG1sUEsF&#10;BgAAAAAGAAYAWQEAADYGAAAAAA==&#10;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>Product Features</w:t>
      </w:r>
    </w:p>
    <w:tbl>
      <w:tblPr>
        <w:tblStyle w:val="5"/>
        <w:tblW w:w="0" w:type="auto"/>
        <w:tblInd w:w="0" w:type="dxa"/>
        <w:tblBorders>
          <w:top w:val="single" w:color="2F5496" w:themeColor="accent1" w:themeShade="BF" w:sz="4" w:space="0"/>
          <w:left w:val="single" w:color="2F5496" w:themeColor="accent1" w:themeShade="BF" w:sz="4" w:space="0"/>
          <w:bottom w:val="single" w:color="2F5496" w:themeColor="accent1" w:themeShade="BF" w:sz="4" w:space="0"/>
          <w:right w:val="single" w:color="2F5496" w:themeColor="accent1" w:themeShade="BF" w:sz="4" w:space="0"/>
          <w:insideH w:val="single" w:color="2F5496" w:themeColor="accent1" w:themeShade="BF" w:sz="4" w:space="0"/>
          <w:insideV w:val="single" w:color="2F5496" w:themeColor="accent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 w14:paraId="7EE0857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480739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Features 8 auto-negotiating 10/100/1000/2500M RJ45 ports and 4 10 Gigabit SFP+ ports.</w:t>
            </w:r>
          </w:p>
        </w:tc>
      </w:tr>
      <w:tr w14:paraId="16EEDD4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066CCC86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Compliant with IEEE 802.3/802.3u/802.3ab/802.3bz/802.3x/802.3cb standards</w:t>
            </w:r>
          </w:p>
        </w:tc>
      </w:tr>
      <w:tr w14:paraId="16612A5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64AB3019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Full-duplex flow control complies with the IEEE 802.3x standard, while half-duplex employs the Backpressure standard.</w:t>
            </w:r>
          </w:p>
        </w:tc>
      </w:tr>
      <w:tr w14:paraId="6E5B456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8A21DBB">
            <w:pPr>
              <w:spacing w:line="360" w:lineRule="auto"/>
              <w:rPr>
                <w:rFonts w:hint="eastAsia"/>
              </w:rPr>
            </w:pPr>
          </w:p>
        </w:tc>
      </w:tr>
      <w:tr w14:paraId="2FDAC21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E8282A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Implement a two-tier user management approach to enhance the security of switch administration.</w:t>
            </w:r>
          </w:p>
        </w:tc>
      </w:tr>
      <w:tr w14:paraId="2FDC3FF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654D780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The port supports auto-negotiation, automatically adjusting the transmission mode and speed.</w:t>
            </w:r>
          </w:p>
        </w:tc>
      </w:tr>
      <w:tr w14:paraId="4CE29532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13" w:type="dxa"/>
            <w:vMerge w:val="restart"/>
          </w:tcPr>
          <w:p w14:paraId="2F8EA0F3">
            <w:pPr>
              <w:spacing w:line="360" w:lineRule="auto"/>
              <w:rPr>
                <w:rFonts w:hint="eastAsia"/>
              </w:rPr>
            </w:pPr>
          </w:p>
          <w:p w14:paraId="0DC1694A">
            <w:pPr>
              <w:spacing w:line="360" w:lineRule="auto"/>
              <w:jc w:val="center"/>
              <w:rPr>
                <w:rFonts w:hint="eastAsia"/>
              </w:rPr>
            </w:pPr>
          </w:p>
          <w:p w14:paraId="4FF0FBA5">
            <w:pPr>
              <w:spacing w:line="360" w:lineRule="auto"/>
              <w:jc w:val="center"/>
              <w:rPr>
                <w:rFonts w:hint="eastAsia"/>
              </w:rPr>
            </w:pPr>
          </w:p>
          <w:p w14:paraId="6AF2D8E2">
            <w:pPr>
              <w:spacing w:line="360" w:lineRule="auto"/>
              <w:jc w:val="center"/>
              <w:rPr>
                <w:rFonts w:hint="eastAsia"/>
              </w:rPr>
            </w:pPr>
          </w:p>
          <w:p w14:paraId="01773E2E">
            <w:pPr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Support</w:t>
            </w:r>
          </w:p>
        </w:tc>
        <w:tc>
          <w:tcPr>
            <w:tcW w:w="6883" w:type="dxa"/>
            <w:tcBorders>
              <w:bottom w:val="single" w:color="auto" w:sz="4" w:space="0"/>
            </w:tcBorders>
          </w:tcPr>
          <w:p w14:paraId="569929B9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MAC address auto-learning, auto-aging, and aging time configuration;</w:t>
            </w:r>
          </w:p>
        </w:tc>
      </w:tr>
      <w:tr w14:paraId="31521BFC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3" w:type="dxa"/>
            <w:vMerge w:val="continue"/>
          </w:tcPr>
          <w:p w14:paraId="2B826F30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45F05DFA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Static MAC address, MAC address filtering, dynamic MAC binding, and other address table management functions</w:t>
            </w:r>
          </w:p>
        </w:tc>
      </w:tr>
      <w:tr w14:paraId="695C7A2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13" w:type="dxa"/>
            <w:vMerge w:val="continue"/>
          </w:tcPr>
          <w:p w14:paraId="3608560F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78DA4A2C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IEEE 802.1Q-based Tag VLAN;</w:t>
            </w:r>
          </w:p>
        </w:tc>
      </w:tr>
      <w:tr w14:paraId="0847886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3" w:type="dxa"/>
            <w:vMerge w:val="continue"/>
          </w:tcPr>
          <w:p w14:paraId="1BC85530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6F78CC6E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16K MAC address;</w:t>
            </w:r>
          </w:p>
        </w:tc>
      </w:tr>
      <w:tr w14:paraId="0ABEA3BC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3" w:type="dxa"/>
            <w:vMerge w:val="continue"/>
          </w:tcPr>
          <w:p w14:paraId="3B49B02A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14F80AAF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Port security control, broadcast storm suppression, and other functions;</w:t>
            </w:r>
          </w:p>
        </w:tc>
      </w:tr>
      <w:tr w14:paraId="7DA5A6D0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13" w:type="dxa"/>
            <w:vMerge w:val="continue"/>
          </w:tcPr>
          <w:p w14:paraId="4E9C13B3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54ACA0E7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Port aggregation functionality;</w:t>
            </w:r>
          </w:p>
        </w:tc>
      </w:tr>
      <w:tr w14:paraId="6CCC9B03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3" w:type="dxa"/>
            <w:vMerge w:val="continue"/>
          </w:tcPr>
          <w:p w14:paraId="56FD8527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56EA124B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Port mirroring and traffic statistics functionality;</w:t>
            </w:r>
          </w:p>
        </w:tc>
      </w:tr>
      <w:tr w14:paraId="1605107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</w:tcPr>
          <w:p w14:paraId="0063C525">
            <w:pPr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883" w:type="dxa"/>
            <w:tcBorders>
              <w:top w:val="single" w:color="auto" w:sz="4" w:space="0"/>
              <w:bottom w:val="single" w:color="auto" w:sz="4" w:space="0"/>
            </w:tcBorders>
          </w:tcPr>
          <w:p w14:paraId="0E8EC415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Port-based/802.1p/DSCP priority QoS.</w:t>
            </w:r>
          </w:p>
        </w:tc>
      </w:tr>
    </w:tbl>
    <w:p w14:paraId="5B55FF07">
      <w:pPr>
        <w:spacing w:line="360" w:lineRule="auto"/>
        <w:rPr>
          <w:rFonts w:hint="eastAsia"/>
        </w:rPr>
      </w:pPr>
    </w:p>
    <w:p w14:paraId="0D25925C">
      <w:pPr>
        <w:spacing w:line="720" w:lineRule="auto"/>
        <w:rPr>
          <w:rFonts w:hint="eastAsia"/>
          <w:b/>
          <w:bCs/>
          <w:color w:val="2F5597" w:themeColor="accent1" w:themeShade="BF"/>
          <w:sz w:val="24"/>
          <w:szCs w:val="24"/>
          <w:u w:val="single"/>
        </w:rPr>
      </w:pP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423545</wp:posOffset>
                </wp:positionV>
                <wp:extent cx="4424045" cy="0"/>
                <wp:effectExtent l="0" t="0" r="0" b="0"/>
                <wp:wrapNone/>
                <wp:docPr id="131568705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2372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76.1pt;margin-top:33.35pt;height:0pt;width:348.35pt;z-index:251659264;mso-width-relative:page;mso-height-relative:page;" filled="f" stroked="t" coordsize="21600,21600" o:gfxdata="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NBV731QAAAAkBAAAPAAAAAAAAAAEAIAAAACIAAABkcnMvZG93bnJldi54bWxQSwECFAAUAAAA&#10;CACHTuJA2DDW9PEBAAC7AwAADgAAAAAAAAABACAAAAAkAQAAZHJzL2Uyb0RvYy54bWxQSwUGAAAA&#10;AAYABgBZAQAAhwUAAAAA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182880</wp:posOffset>
                </wp:positionV>
                <wp:extent cx="1718945" cy="238125"/>
                <wp:effectExtent l="6350" t="6350" r="8255" b="22225"/>
                <wp:wrapNone/>
                <wp:docPr id="281375092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8945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" o:spid="_x0000_s1026" o:spt="109" type="#_x0000_t109" style="position:absolute;left:0pt;margin-left:-3pt;margin-top:14.4pt;height:18.75pt;width:135.35pt;z-index:-251652096;v-text-anchor:middle;mso-width-relative:page;mso-height-relative:page;" fillcolor="#4472C4 [3204]" filled="t" stroked="t" coordsize="21600,21600" o:gfxdata="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AK/1PPVAAAACAEAAA8AAAAAAAAAAQAgAAAAIgAAAGRycy9kb3ducmV2LnhtbFBLAQIU&#10;ABQAAAAIAIdO4kAq0AJVoQIAADQFAAAOAAAAAAAAAAEAIAAAACQBAABkcnMvZTJvRG9jLnhtbFBL&#10;BQYAAAAABgAGAFkBAAA3BgAAAAA=&#10;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>Technical Specifications</w:t>
      </w:r>
    </w:p>
    <w:tbl>
      <w:tblPr>
        <w:tblStyle w:val="5"/>
        <w:tblW w:w="0" w:type="auto"/>
        <w:tblInd w:w="0" w:type="dxa"/>
        <w:tblBorders>
          <w:top w:val="single" w:color="2F5496" w:themeColor="accent1" w:themeShade="BF" w:sz="4" w:space="0"/>
          <w:left w:val="single" w:color="2F5496" w:themeColor="accent1" w:themeShade="BF" w:sz="4" w:space="0"/>
          <w:bottom w:val="single" w:color="2F5496" w:themeColor="accent1" w:themeShade="BF" w:sz="4" w:space="0"/>
          <w:right w:val="single" w:color="2F5496" w:themeColor="accent1" w:themeShade="BF" w:sz="4" w:space="0"/>
          <w:insideH w:val="single" w:color="2F5496" w:themeColor="accent1" w:themeShade="BF" w:sz="4" w:space="0"/>
          <w:insideV w:val="single" w:color="2F5496" w:themeColor="accent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741"/>
      </w:tblGrid>
      <w:tr w14:paraId="4587996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56C7ECD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2F5597" w:themeColor="accent1" w:themeShade="BF"/>
              </w:rPr>
              <w:t>Standard</w:t>
            </w:r>
          </w:p>
        </w:tc>
        <w:tc>
          <w:tcPr>
            <w:tcW w:w="6741" w:type="dxa"/>
          </w:tcPr>
          <w:p w14:paraId="5E498531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IEEE 802.3/802.3u/802.3ab/802.3bz/802.3</w:t>
            </w:r>
            <w:r>
              <w:rPr>
                <w:rFonts w:hint="eastAsia"/>
              </w:rPr>
              <w:t>z</w:t>
            </w:r>
            <w:r>
              <w:t>/802.3cb</w:t>
            </w:r>
            <w:r>
              <w:rPr>
                <w:rFonts w:hint="eastAsia"/>
              </w:rPr>
              <w:t>/</w:t>
            </w:r>
          </w:p>
        </w:tc>
      </w:tr>
      <w:tr w14:paraId="57AE268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E1577EE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2F5597" w:themeColor="accent1" w:themeShade="BF"/>
              </w:rPr>
              <w:t>Port</w:t>
            </w:r>
          </w:p>
        </w:tc>
        <w:tc>
          <w:tcPr>
            <w:tcW w:w="6741" w:type="dxa"/>
          </w:tcPr>
          <w:p w14:paraId="18A6F267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8 x 10M/100M/1000M/2.5G RJ45 ports, 4 x 10 Gigabit fiber ports, 1 x Console port</w:t>
            </w:r>
          </w:p>
        </w:tc>
      </w:tr>
      <w:tr w14:paraId="4B58896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F0892A2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2F5597" w:themeColor="accent1" w:themeShade="BF"/>
              </w:rPr>
              <w:t>Indicator light</w:t>
            </w:r>
          </w:p>
        </w:tc>
        <w:tc>
          <w:tcPr>
            <w:tcW w:w="6741" w:type="dxa"/>
          </w:tcPr>
          <w:p w14:paraId="16EE344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8 link/act indicators, 8 2.5G rate indicators, 4 10G link/act indicators, power input indicator, system light</w:t>
            </w:r>
          </w:p>
        </w:tc>
      </w:tr>
      <w:tr w14:paraId="19039421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E9CB0DB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7C397302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42FE0F6F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2F5597" w:themeColor="accent1" w:themeShade="BF"/>
                <w:lang w:val="en-US" w:eastAsia="zh-CN"/>
              </w:rPr>
              <w:t>Network medium</w:t>
            </w:r>
          </w:p>
        </w:tc>
        <w:tc>
          <w:tcPr>
            <w:tcW w:w="6741" w:type="dxa"/>
          </w:tcPr>
          <w:p w14:paraId="27A2EAF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10Base-T: Category 3, 4, or 5 unshielded twisted pair (UTP) cable (maximum 100 meters)</w:t>
            </w:r>
            <w:r>
              <w:t xml:space="preserve"> </w:t>
            </w:r>
          </w:p>
          <w:p w14:paraId="301CF72C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100Base-Tx: UTP category 5, 5e cable (</w:t>
            </w:r>
            <w:r>
              <w:rPr>
                <w:rFonts w:hint="eastAsia"/>
              </w:rPr>
              <w:t>maximum 100 meters</w:t>
            </w:r>
            <w:r>
              <w:t xml:space="preserve">) </w:t>
            </w:r>
          </w:p>
          <w:p w14:paraId="62432CF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1000Base-T: UTP category 5e, 6 cable (</w:t>
            </w:r>
            <w:r>
              <w:rPr>
                <w:rFonts w:hint="eastAsia"/>
              </w:rPr>
              <w:t>maximum 100 meters</w:t>
            </w:r>
            <w:r>
              <w:t xml:space="preserve">) </w:t>
            </w:r>
          </w:p>
          <w:p w14:paraId="46212C11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2.5GBase-T:UTP category 5e, 6 cable (</w:t>
            </w:r>
            <w:r>
              <w:rPr>
                <w:rFonts w:hint="eastAsia"/>
              </w:rPr>
              <w:t>maximum 100 meters</w:t>
            </w:r>
            <w:r>
              <w:t xml:space="preserve">) </w:t>
            </w:r>
          </w:p>
          <w:p w14:paraId="01A45954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SFP+:</w:t>
            </w:r>
            <w:r>
              <w:rPr>
                <w:rFonts w:hint="eastAsia"/>
              </w:rPr>
              <w:t>optical fiber</w:t>
            </w:r>
          </w:p>
        </w:tc>
      </w:tr>
      <w:tr w14:paraId="3E4F954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9567AB3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2F5597" w:themeColor="accent1" w:themeShade="BF"/>
                <w:lang w:val="en-US" w:eastAsia="zh-CN"/>
              </w:rPr>
              <w:t>Power Input</w:t>
            </w:r>
          </w:p>
        </w:tc>
        <w:tc>
          <w:tcPr>
            <w:tcW w:w="6741" w:type="dxa"/>
          </w:tcPr>
          <w:p w14:paraId="45ADF9A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AC100~240V 50/60Hz</w:t>
            </w:r>
          </w:p>
        </w:tc>
      </w:tr>
      <w:tr w14:paraId="115C13B2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E1E5FD8">
            <w:pPr>
              <w:tabs>
                <w:tab w:val="left" w:pos="1650"/>
              </w:tabs>
              <w:spacing w:line="360" w:lineRule="auto"/>
              <w:jc w:val="center"/>
              <w:rPr>
                <w:rFonts w:hint="default" w:eastAsiaTheme="minorEastAsia"/>
                <w:color w:val="2F5597" w:themeColor="accent1" w:themeShade="BF"/>
                <w:lang w:val="en-US" w:eastAsia="zh-CN"/>
              </w:rPr>
            </w:pPr>
            <w:r>
              <w:rPr>
                <w:rFonts w:hint="eastAsia"/>
                <w:color w:val="2F5597" w:themeColor="accent1" w:themeShade="BF"/>
                <w:lang w:val="en-US" w:eastAsia="zh-CN"/>
              </w:rPr>
              <w:t>Size</w:t>
            </w:r>
          </w:p>
        </w:tc>
        <w:tc>
          <w:tcPr>
            <w:tcW w:w="6741" w:type="dxa"/>
          </w:tcPr>
          <w:p w14:paraId="3E4FAAE6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271*181.5*44.5mm</w:t>
            </w:r>
          </w:p>
        </w:tc>
      </w:tr>
      <w:tr w14:paraId="6190C562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46C5AD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Conversion Capacity</w:t>
            </w:r>
          </w:p>
        </w:tc>
        <w:tc>
          <w:tcPr>
            <w:tcW w:w="6741" w:type="dxa"/>
          </w:tcPr>
          <w:p w14:paraId="1BE5FFB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  <w:r>
              <w:t>0Gbps</w:t>
            </w:r>
          </w:p>
        </w:tc>
      </w:tr>
      <w:tr w14:paraId="295EFDBA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9F124A2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Forwarding Rate</w:t>
            </w:r>
          </w:p>
        </w:tc>
        <w:tc>
          <w:tcPr>
            <w:tcW w:w="6741" w:type="dxa"/>
          </w:tcPr>
          <w:p w14:paraId="0317212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89.28</w:t>
            </w:r>
            <w:bookmarkStart w:id="0" w:name="_GoBack"/>
            <w:bookmarkEnd w:id="0"/>
            <w:r>
              <w:t>Mpps</w:t>
            </w:r>
          </w:p>
        </w:tc>
      </w:tr>
      <w:tr w14:paraId="44906F31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C38A363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color w:val="2F5597" w:themeColor="accent1" w:themeShade="BF"/>
              </w:rPr>
              <w:t>MAC</w:t>
            </w:r>
            <w:r>
              <w:rPr>
                <w:rFonts w:hint="eastAsia"/>
                <w:color w:val="2F5597" w:themeColor="accent1" w:themeShade="BF"/>
                <w:lang w:val="en-US" w:eastAsia="zh-CN"/>
              </w:rPr>
              <w:t xml:space="preserve"> </w:t>
            </w:r>
            <w:r>
              <w:rPr>
                <w:rFonts w:hint="eastAsia"/>
                <w:color w:val="2F5597" w:themeColor="accent1" w:themeShade="BF"/>
              </w:rPr>
              <w:t xml:space="preserve">Address </w:t>
            </w:r>
          </w:p>
        </w:tc>
        <w:tc>
          <w:tcPr>
            <w:tcW w:w="6741" w:type="dxa"/>
          </w:tcPr>
          <w:p w14:paraId="63E0DD2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16K</w:t>
            </w:r>
          </w:p>
        </w:tc>
      </w:tr>
      <w:tr w14:paraId="6181185A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4067EB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Cache</w:t>
            </w:r>
          </w:p>
        </w:tc>
        <w:tc>
          <w:tcPr>
            <w:tcW w:w="6741" w:type="dxa"/>
          </w:tcPr>
          <w:p w14:paraId="3838437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12Mbit</w:t>
            </w:r>
          </w:p>
        </w:tc>
      </w:tr>
      <w:tr w14:paraId="0802DB6E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09012A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Giant Frame</w:t>
            </w:r>
          </w:p>
        </w:tc>
        <w:tc>
          <w:tcPr>
            <w:tcW w:w="6741" w:type="dxa"/>
          </w:tcPr>
          <w:p w14:paraId="22288855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>12KB</w:t>
            </w:r>
          </w:p>
        </w:tc>
      </w:tr>
      <w:tr w14:paraId="205BCBDD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555" w:type="dxa"/>
            <w:vMerge w:val="restart"/>
          </w:tcPr>
          <w:p w14:paraId="70A8C76D">
            <w:pPr>
              <w:tabs>
                <w:tab w:val="left" w:pos="1650"/>
              </w:tabs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  <w:p w14:paraId="15F790D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Environment</w:t>
            </w:r>
          </w:p>
        </w:tc>
        <w:tc>
          <w:tcPr>
            <w:tcW w:w="6741" w:type="dxa"/>
          </w:tcPr>
          <w:p w14:paraId="557C65D7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Operating temperature: 0°C to 45°C (32°F to 113°F)</w:t>
            </w:r>
          </w:p>
        </w:tc>
      </w:tr>
      <w:tr w14:paraId="3634627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55" w:type="dxa"/>
            <w:vMerge w:val="continue"/>
          </w:tcPr>
          <w:p w14:paraId="7CA8A031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</w:p>
        </w:tc>
        <w:tc>
          <w:tcPr>
            <w:tcW w:w="6741" w:type="dxa"/>
          </w:tcPr>
          <w:p w14:paraId="6C167FDE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Storage temperature: -40°C to 70°C (-40°F to 158°F)</w:t>
            </w:r>
          </w:p>
        </w:tc>
      </w:tr>
      <w:tr w14:paraId="27D36E2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555" w:type="dxa"/>
            <w:vMerge w:val="continue"/>
          </w:tcPr>
          <w:p w14:paraId="12B1F142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</w:p>
        </w:tc>
        <w:tc>
          <w:tcPr>
            <w:tcW w:w="6741" w:type="dxa"/>
          </w:tcPr>
          <w:p w14:paraId="4F8120C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Operating Humidity: 10% to 90% RH, non-condensing</w:t>
            </w:r>
          </w:p>
        </w:tc>
      </w:tr>
      <w:tr w14:paraId="6224846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555" w:type="dxa"/>
            <w:vMerge w:val="continue"/>
          </w:tcPr>
          <w:p w14:paraId="75358B4E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</w:p>
        </w:tc>
        <w:tc>
          <w:tcPr>
            <w:tcW w:w="6741" w:type="dxa"/>
          </w:tcPr>
          <w:p w14:paraId="222E37EF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Storage humidity: 5% to 95% RH, non-condensing</w:t>
            </w:r>
          </w:p>
        </w:tc>
      </w:tr>
    </w:tbl>
    <w:p w14:paraId="2DF7F5DA">
      <w:pPr>
        <w:tabs>
          <w:tab w:val="left" w:pos="1650"/>
        </w:tabs>
        <w:spacing w:line="360" w:lineRule="auto"/>
        <w:rPr>
          <w:rFonts w:hint="eastAsia"/>
        </w:rPr>
      </w:pPr>
    </w:p>
    <w:p w14:paraId="1C9F79E6">
      <w:pPr>
        <w:spacing w:line="720" w:lineRule="auto"/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415925</wp:posOffset>
                </wp:positionV>
                <wp:extent cx="4719320" cy="4445"/>
                <wp:effectExtent l="0" t="0" r="24765" b="33655"/>
                <wp:wrapNone/>
                <wp:docPr id="1798459311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9049" cy="452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53.25pt;margin-top:32.75pt;height:0.35pt;width:371.6pt;z-index:251665408;mso-width-relative:page;mso-height-relative:page;" filled="f" stroked="t" coordsize="21600,21600" o:gfxdata="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b5/Gc9YAAAAJAQAADwAAAAAAAAABACAAAAAiAAAAZHJzL2Rvd25yZXYueG1sUEsBAhQA&#10;FAAAAAgAh07iQOYwhVv0AQAAvgMAAA4AAAAAAAAAAQAgAAAAJQEAAGRycy9lMm9Eb2MueG1sUEsF&#10;BgAAAAAGAAYAWQEAAIsFAAAAAA==&#10;">
                <v:fill on="f" focussize="0,0"/>
                <v:stroke weight="1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179070</wp:posOffset>
                </wp:positionV>
                <wp:extent cx="1729105" cy="238125"/>
                <wp:effectExtent l="6350" t="6350" r="17145" b="22225"/>
                <wp:wrapNone/>
                <wp:docPr id="486063622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" o:spid="_x0000_s1026" o:spt="109" type="#_x0000_t109" style="position:absolute;left:0pt;margin-left:-3pt;margin-top:14.1pt;height:18.75pt;width:136.15pt;z-index:-251650048;v-text-anchor:middle;mso-width-relative:page;mso-height-relative:page;" fillcolor="#4472C4 [3204]" filled="t" stroked="t" coordsize="21600,21600" o:gfxdata="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BBwD1bVAAAACAEAAA8AAAAAAAAAAQAgAAAAIgAAAGRycy9kb3ducmV2LnhtbFBLAQIU&#10;ABQAAAAIAIdO4kAs2IYooQIAADQFAAAOAAAAAAAAAAEAIAAAACQBAABkcnMvZTJvRG9jLnhtbFBL&#10;BQYAAAAABgAGAFkBAAA3BgAAAAA=&#10;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  <w:t>Software Specifications</w:t>
      </w:r>
    </w:p>
    <w:tbl>
      <w:tblPr>
        <w:tblStyle w:val="5"/>
        <w:tblW w:w="0" w:type="auto"/>
        <w:tblInd w:w="0" w:type="dxa"/>
        <w:tblBorders>
          <w:top w:val="single" w:color="2F5496" w:themeColor="accent1" w:themeShade="BF" w:sz="4" w:space="0"/>
          <w:left w:val="single" w:color="2F5496" w:themeColor="accent1" w:themeShade="BF" w:sz="4" w:space="0"/>
          <w:bottom w:val="single" w:color="2F5496" w:themeColor="accent1" w:themeShade="BF" w:sz="4" w:space="0"/>
          <w:right w:val="single" w:color="2F5496" w:themeColor="accent1" w:themeShade="BF" w:sz="4" w:space="0"/>
          <w:insideH w:val="single" w:color="2F5496" w:themeColor="accent1" w:themeShade="BF" w:sz="4" w:space="0"/>
          <w:insideV w:val="single" w:color="2F5496" w:themeColor="accent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741"/>
      </w:tblGrid>
      <w:tr w14:paraId="324EFCD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555" w:type="dxa"/>
            <w:vMerge w:val="restart"/>
          </w:tcPr>
          <w:p w14:paraId="2D142DE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7A316CA6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52220ED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956116C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5E7103D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color w:val="2F5597" w:themeColor="accent1" w:themeShade="BF"/>
              </w:rPr>
              <w:t>VLAN</w:t>
            </w:r>
            <w:r>
              <w:rPr>
                <w:rFonts w:hint="eastAsia"/>
                <w:color w:val="2F5597" w:themeColor="accent1" w:themeShade="BF"/>
                <w:lang w:val="en-US" w:eastAsia="zh-CN"/>
              </w:rPr>
              <w:t xml:space="preserve"> </w:t>
            </w:r>
            <w:r>
              <w:rPr>
                <w:rFonts w:hint="eastAsia"/>
                <w:color w:val="2F5597" w:themeColor="accent1" w:themeShade="BF"/>
              </w:rPr>
              <w:t>Characteristics</w:t>
            </w:r>
          </w:p>
          <w:p w14:paraId="5C66A9E2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6990260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A0EEB9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</w:p>
        </w:tc>
        <w:tc>
          <w:tcPr>
            <w:tcW w:w="6741" w:type="dxa"/>
          </w:tcPr>
          <w:p w14:paraId="09703FDF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IEEE802.1Q VLAN</w:t>
            </w:r>
          </w:p>
        </w:tc>
      </w:tr>
      <w:tr w14:paraId="546D7E7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vMerge w:val="continue"/>
          </w:tcPr>
          <w:p w14:paraId="1B46B21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022B5BC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private VLAN</w:t>
            </w:r>
          </w:p>
        </w:tc>
      </w:tr>
      <w:tr w14:paraId="5D1CAC2C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0799A7E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CCA048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Protocol VLAN</w:t>
            </w:r>
          </w:p>
        </w:tc>
      </w:tr>
      <w:tr w14:paraId="6E5A078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dxa"/>
            <w:vMerge w:val="continue"/>
          </w:tcPr>
          <w:p w14:paraId="3005FADD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7075B2D2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flexible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QinQ</w:t>
            </w:r>
          </w:p>
        </w:tc>
      </w:tr>
      <w:tr w14:paraId="09B4D8D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dxa"/>
            <w:vMerge w:val="continue"/>
          </w:tcPr>
          <w:p w14:paraId="0EDF3C1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5109F1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VLAN Translation</w:t>
            </w:r>
          </w:p>
        </w:tc>
      </w:tr>
      <w:tr w14:paraId="3BF5A939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dxa"/>
            <w:vMerge w:val="continue"/>
          </w:tcPr>
          <w:p w14:paraId="79EF06D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1E57CE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N:1 VLAN Translation</w:t>
            </w:r>
          </w:p>
        </w:tc>
      </w:tr>
      <w:tr w14:paraId="72DB03C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dxa"/>
            <w:vMerge w:val="continue"/>
          </w:tcPr>
          <w:p w14:paraId="5A69BA7C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5240B87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Voice VLAN</w:t>
            </w:r>
          </w:p>
        </w:tc>
      </w:tr>
      <w:tr w14:paraId="722EB34A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continue"/>
          </w:tcPr>
          <w:p w14:paraId="572C929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40014E6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MAC VLAN</w:t>
            </w:r>
          </w:p>
        </w:tc>
      </w:tr>
      <w:tr w14:paraId="308DFF4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55" w:type="dxa"/>
            <w:vMerge w:val="restart"/>
          </w:tcPr>
          <w:p w14:paraId="04A101C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2FCD74A0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</w:rPr>
            </w:pPr>
            <w:r>
              <w:rPr>
                <w:color w:val="2F5597" w:themeColor="accent1" w:themeShade="BF"/>
              </w:rPr>
              <w:t>DHCP</w:t>
            </w:r>
          </w:p>
        </w:tc>
        <w:tc>
          <w:tcPr>
            <w:tcW w:w="6741" w:type="dxa"/>
          </w:tcPr>
          <w:p w14:paraId="77FFEF5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DHCP Snooping、DHCP Relay</w:t>
            </w:r>
          </w:p>
        </w:tc>
      </w:tr>
      <w:tr w14:paraId="2B77CAC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55" w:type="dxa"/>
            <w:vMerge w:val="continue"/>
          </w:tcPr>
          <w:p w14:paraId="5287077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135E3FB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DHCP client</w:t>
            </w:r>
          </w:p>
        </w:tc>
      </w:tr>
      <w:tr w14:paraId="4A50526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555" w:type="dxa"/>
            <w:vMerge w:val="continue"/>
          </w:tcPr>
          <w:p w14:paraId="2DAC2AA3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40EC74F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Option 82</w:t>
            </w:r>
          </w:p>
        </w:tc>
      </w:tr>
      <w:tr w14:paraId="5C39B629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555" w:type="dxa"/>
            <w:vMerge w:val="restart"/>
          </w:tcPr>
          <w:p w14:paraId="0676A42C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084E28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4F35E3C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773140B">
            <w:pPr>
              <w:tabs>
                <w:tab w:val="left" w:pos="1650"/>
              </w:tabs>
              <w:spacing w:line="360" w:lineRule="auto"/>
              <w:ind w:firstLine="210" w:firstLineChars="100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Reliability</w:t>
            </w:r>
          </w:p>
        </w:tc>
        <w:tc>
          <w:tcPr>
            <w:tcW w:w="6741" w:type="dxa"/>
          </w:tcPr>
          <w:p w14:paraId="34D4A13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STP，RSTP，MSTP</w:t>
            </w:r>
          </w:p>
        </w:tc>
      </w:tr>
      <w:tr w14:paraId="5C4E9DEE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555" w:type="dxa"/>
            <w:vMerge w:val="continue"/>
          </w:tcPr>
          <w:p w14:paraId="2D0E346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14FD811B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multiple processes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MSTP</w:t>
            </w:r>
          </w:p>
        </w:tc>
      </w:tr>
      <w:tr w14:paraId="1289357D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55" w:type="dxa"/>
            <w:vMerge w:val="continue"/>
          </w:tcPr>
          <w:p w14:paraId="4F0DAB5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5A7340C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LACP load balancing</w:t>
            </w:r>
          </w:p>
        </w:tc>
      </w:tr>
      <w:tr w14:paraId="00311EC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34D5C76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0850008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the G.8032 standard ring network protocol</w:t>
            </w:r>
          </w:p>
        </w:tc>
      </w:tr>
      <w:tr w14:paraId="31129D3E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555" w:type="dxa"/>
            <w:vMerge w:val="continue"/>
          </w:tcPr>
          <w:p w14:paraId="777662B3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13B565E4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VCT、DDM</w:t>
            </w:r>
          </w:p>
        </w:tc>
      </w:tr>
      <w:tr w14:paraId="763B3DD6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555" w:type="dxa"/>
            <w:vMerge w:val="continue"/>
          </w:tcPr>
          <w:p w14:paraId="32271CF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18E96C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ULDP（</w:t>
            </w:r>
            <w:r>
              <w:rPr>
                <w:rFonts w:hint="eastAsia"/>
              </w:rPr>
              <w:t>Implement the same functionality as Cisco UDLD</w:t>
            </w:r>
            <w:r>
              <w:t>）</w:t>
            </w:r>
          </w:p>
        </w:tc>
      </w:tr>
      <w:tr w14:paraId="37590E6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555" w:type="dxa"/>
            <w:vMerge w:val="restart"/>
          </w:tcPr>
          <w:p w14:paraId="59C02A02">
            <w:pPr>
              <w:tabs>
                <w:tab w:val="left" w:pos="1650"/>
              </w:tabs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  <w:p w14:paraId="3C1884E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Multicast</w:t>
            </w:r>
          </w:p>
        </w:tc>
        <w:tc>
          <w:tcPr>
            <w:tcW w:w="6741" w:type="dxa"/>
          </w:tcPr>
          <w:p w14:paraId="13AEE377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IGMP v1/v2/v3 snooping、IGMP Fast leave</w:t>
            </w:r>
          </w:p>
        </w:tc>
      </w:tr>
      <w:tr w14:paraId="374C09F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1555" w:type="dxa"/>
            <w:vMerge w:val="continue"/>
          </w:tcPr>
          <w:p w14:paraId="6E89FB13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3E72058F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MLD v1/v2 snooping</w:t>
            </w:r>
          </w:p>
        </w:tc>
      </w:tr>
      <w:tr w14:paraId="037DEA6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55" w:type="dxa"/>
            <w:vMerge w:val="restart"/>
          </w:tcPr>
          <w:p w14:paraId="7B26A8A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5213F21">
            <w:pPr>
              <w:tabs>
                <w:tab w:val="left" w:pos="1650"/>
              </w:tabs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  <w:p w14:paraId="5ADF5292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Service Quality</w:t>
            </w:r>
          </w:p>
          <w:p w14:paraId="377F7F7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color w:val="2F5597" w:themeColor="accent1" w:themeShade="BF"/>
              </w:rPr>
              <w:t>(QoS)</w:t>
            </w:r>
          </w:p>
        </w:tc>
        <w:tc>
          <w:tcPr>
            <w:tcW w:w="6741" w:type="dxa"/>
          </w:tcPr>
          <w:p w14:paraId="314A1E6C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flow classification based on ACL flows, VLAN ID, COS, TOS, DSCP, and IPv6 FlowLabel</w:t>
            </w:r>
          </w:p>
        </w:tc>
      </w:tr>
      <w:tr w14:paraId="6E975266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continue"/>
          </w:tcPr>
          <w:p w14:paraId="1097459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1655A49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port-based and VLAN-based PolicyMap binding</w:t>
            </w:r>
          </w:p>
        </w:tc>
      </w:tr>
      <w:tr w14:paraId="5F3A276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555" w:type="dxa"/>
            <w:vMerge w:val="continue"/>
          </w:tcPr>
          <w:p w14:paraId="3E40F95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5DAA097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DSCP, COS/802.1p priority, TOS, and other field rewriting</w:t>
            </w:r>
          </w:p>
        </w:tc>
      </w:tr>
      <w:tr w14:paraId="4F05AAD9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55062F9F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95DD01C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8 queues per port</w:t>
            </w:r>
          </w:p>
        </w:tc>
      </w:tr>
      <w:tr w14:paraId="0AAAA7C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2778172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451D2895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SP, WRR, SWRR, and DWRR queue scheduling algorithms</w:t>
            </w:r>
          </w:p>
        </w:tc>
      </w:tr>
      <w:tr w14:paraId="4E1C0627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55" w:type="dxa"/>
            <w:vMerge w:val="restart"/>
          </w:tcPr>
          <w:p w14:paraId="4FF4753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7041574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79637A1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Access Control List</w:t>
            </w:r>
          </w:p>
          <w:p w14:paraId="15BD5320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color w:val="2F5597" w:themeColor="accent1" w:themeShade="BF"/>
              </w:rPr>
              <w:t xml:space="preserve"> (ACL)</w:t>
            </w:r>
          </w:p>
        </w:tc>
        <w:tc>
          <w:tcPr>
            <w:tcW w:w="6741" w:type="dxa"/>
          </w:tcPr>
          <w:p w14:paraId="1B2AA581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IP ACLs, matching based on fields such as source/destination IP, IP protocol type, IP priority, and TCP/UDP source and destination port numbers.</w:t>
            </w:r>
          </w:p>
        </w:tc>
      </w:tr>
      <w:tr w14:paraId="0233A4FA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55" w:type="dxa"/>
            <w:vMerge w:val="continue"/>
          </w:tcPr>
          <w:p w14:paraId="2424DA2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34D2487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customizable access control lists (ACLs)</w:t>
            </w:r>
          </w:p>
        </w:tc>
      </w:tr>
      <w:tr w14:paraId="1C348329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55" w:type="dxa"/>
            <w:vMerge w:val="continue"/>
          </w:tcPr>
          <w:p w14:paraId="124CBBD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4CE5F8E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port-based and VLAN-based ACL binding</w:t>
            </w:r>
          </w:p>
        </w:tc>
      </w:tr>
      <w:tr w14:paraId="6D257FB3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vMerge w:val="continue"/>
          </w:tcPr>
          <w:p w14:paraId="259874B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4C17800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MAC ACLs, enabling packet matching based on source/destination MAC addresses, VLAN IDs, COS, and other fields.</w:t>
            </w:r>
          </w:p>
        </w:tc>
      </w:tr>
      <w:tr w14:paraId="03364230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</w:tcPr>
          <w:p w14:paraId="52A0DED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routing</w:t>
            </w:r>
          </w:p>
        </w:tc>
        <w:tc>
          <w:tcPr>
            <w:tcW w:w="6741" w:type="dxa"/>
          </w:tcPr>
          <w:p w14:paraId="00922F89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IPv4/IPv6 Gateway</w:t>
            </w:r>
          </w:p>
        </w:tc>
      </w:tr>
      <w:tr w14:paraId="5AED8C7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555" w:type="dxa"/>
            <w:vMerge w:val="restart"/>
          </w:tcPr>
          <w:p w14:paraId="5395CD6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34F4F27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3405AF5F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9258C94">
            <w:pPr>
              <w:tabs>
                <w:tab w:val="left" w:pos="1650"/>
              </w:tabs>
              <w:spacing w:line="360" w:lineRule="auto"/>
              <w:rPr>
                <w:rFonts w:hint="eastAsia"/>
                <w:color w:val="2F5597" w:themeColor="accent1" w:themeShade="BF"/>
              </w:rPr>
            </w:pPr>
          </w:p>
          <w:p w14:paraId="108EE50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Safety</w:t>
            </w:r>
          </w:p>
        </w:tc>
        <w:tc>
          <w:tcPr>
            <w:tcW w:w="6741" w:type="dxa"/>
          </w:tcPr>
          <w:p w14:paraId="54F52086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 port rate limiting</w:t>
            </w:r>
          </w:p>
        </w:tc>
      </w:tr>
      <w:tr w14:paraId="0EBB76BA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6633B97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95F7940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broadcast storm control based on packet and byte counts</w:t>
            </w:r>
          </w:p>
        </w:tc>
      </w:tr>
      <w:tr w14:paraId="1CBABF11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555" w:type="dxa"/>
            <w:vMerge w:val="continue"/>
          </w:tcPr>
          <w:p w14:paraId="48C6755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008F83AA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port/MAC binding and MAC filtering</w:t>
            </w:r>
          </w:p>
        </w:tc>
      </w:tr>
      <w:tr w14:paraId="7ABD8EE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555" w:type="dxa"/>
            <w:vMerge w:val="continue"/>
          </w:tcPr>
          <w:p w14:paraId="4340AC6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3226D08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 for port-based and VLAN-based MAC address limiting</w:t>
            </w:r>
          </w:p>
        </w:tc>
      </w:tr>
      <w:tr w14:paraId="07E3025C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5" w:type="dxa"/>
            <w:vMerge w:val="continue"/>
          </w:tcPr>
          <w:p w14:paraId="551FA981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3AB68A4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ARP spoofing prevention</w:t>
            </w:r>
          </w:p>
        </w:tc>
      </w:tr>
      <w:tr w14:paraId="7226502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5" w:type="dxa"/>
            <w:vMerge w:val="continue"/>
          </w:tcPr>
          <w:p w14:paraId="2ADE4AFB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CEF4492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DHCP Snooping、DHCP Relay</w:t>
            </w:r>
          </w:p>
        </w:tc>
      </w:tr>
      <w:tr w14:paraId="3EC7BADC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555" w:type="dxa"/>
            <w:vMerge w:val="continue"/>
          </w:tcPr>
          <w:p w14:paraId="42DDF46F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57F7215C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DAI</w:t>
            </w:r>
          </w:p>
        </w:tc>
      </w:tr>
      <w:tr w14:paraId="5353ECE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55" w:type="dxa"/>
            <w:vMerge w:val="continue"/>
          </w:tcPr>
          <w:p w14:paraId="0F586E1B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4E84AFAA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standard IEEE 802.1x and extended IEEE 802.1x</w:t>
            </w:r>
          </w:p>
        </w:tc>
      </w:tr>
      <w:tr w14:paraId="541D959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55" w:type="dxa"/>
            <w:vMerge w:val="continue"/>
          </w:tcPr>
          <w:p w14:paraId="55B3C26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C354ED1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TACACS+</w:t>
            </w:r>
          </w:p>
        </w:tc>
      </w:tr>
      <w:tr w14:paraId="0B0AA143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5" w:type="dxa"/>
            <w:vMerge w:val="restart"/>
          </w:tcPr>
          <w:p w14:paraId="0E01CB9B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75ECC0C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16ACEA2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02A00C94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10F298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4DB94736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7EDB650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  <w:p w14:paraId="5577F0C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  <w:r>
              <w:rPr>
                <w:rFonts w:hint="eastAsia"/>
                <w:color w:val="2F5597" w:themeColor="accent1" w:themeShade="BF"/>
              </w:rPr>
              <w:t>Management and Operations</w:t>
            </w:r>
          </w:p>
        </w:tc>
        <w:tc>
          <w:tcPr>
            <w:tcW w:w="6741" w:type="dxa"/>
          </w:tcPr>
          <w:p w14:paraId="755CFAB3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CLI</w:t>
            </w:r>
          </w:p>
        </w:tc>
      </w:tr>
      <w:tr w14:paraId="7FD9C6C9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555" w:type="dxa"/>
            <w:vMerge w:val="continue"/>
          </w:tcPr>
          <w:p w14:paraId="31D9411C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76A3AABB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Ethernet management port</w:t>
            </w:r>
          </w:p>
        </w:tc>
      </w:tr>
      <w:tr w14:paraId="458E226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555" w:type="dxa"/>
            <w:vMerge w:val="continue"/>
          </w:tcPr>
          <w:p w14:paraId="60ABFAC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40C0F545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IPv4/IPv6 HTT</w:t>
            </w:r>
          </w:p>
        </w:tc>
      </w:tr>
      <w:tr w14:paraId="20749B50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55" w:type="dxa"/>
            <w:vMerge w:val="continue"/>
          </w:tcPr>
          <w:p w14:paraId="78CA5DB8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067A64AB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IPv4/IPv6 SNMP</w:t>
            </w:r>
          </w:p>
        </w:tc>
      </w:tr>
      <w:tr w14:paraId="4D9BA856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555" w:type="dxa"/>
            <w:vMerge w:val="continue"/>
          </w:tcPr>
          <w:p w14:paraId="3476FF77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543342EF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RADIUS authentication for Telnet usernames and passwords over IPv4/IPv6</w:t>
            </w:r>
          </w:p>
        </w:tc>
      </w:tr>
      <w:tr w14:paraId="44959CD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555" w:type="dxa"/>
            <w:vMerge w:val="continue"/>
          </w:tcPr>
          <w:p w14:paraId="6795B917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75EA9CF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SSH supporting IPv4/IPv6</w:t>
            </w:r>
          </w:p>
        </w:tc>
      </w:tr>
      <w:tr w14:paraId="37616E4F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55" w:type="dxa"/>
            <w:vMerge w:val="continue"/>
          </w:tcPr>
          <w:p w14:paraId="3AAF5CA5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7481ECAC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syslog</w:t>
            </w:r>
          </w:p>
        </w:tc>
      </w:tr>
      <w:tr w14:paraId="7D6F7BC6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1555" w:type="dxa"/>
            <w:vMerge w:val="continue"/>
          </w:tcPr>
          <w:p w14:paraId="2FD18EDD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156276AD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SNMPv1/v2c/v3</w:t>
            </w:r>
          </w:p>
        </w:tc>
      </w:tr>
      <w:tr w14:paraId="7651E453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5" w:type="dxa"/>
            <w:vMerge w:val="continue"/>
          </w:tcPr>
          <w:p w14:paraId="38EC4C39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5C34F2C2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MIB interface, supports Trap</w:t>
            </w:r>
          </w:p>
        </w:tc>
      </w:tr>
      <w:tr w14:paraId="6EBA28F8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5" w:type="dxa"/>
            <w:vMerge w:val="continue"/>
          </w:tcPr>
          <w:p w14:paraId="3EB13AE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302DF91A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dual IMG and multiple configuration files</w:t>
            </w:r>
          </w:p>
        </w:tc>
      </w:tr>
      <w:tr w14:paraId="0AD3DA5B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5" w:type="dxa"/>
            <w:vMerge w:val="continue"/>
          </w:tcPr>
          <w:p w14:paraId="76C299B7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229009C7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LLDP</w:t>
            </w:r>
          </w:p>
        </w:tc>
      </w:tr>
      <w:tr w14:paraId="0D1A43B4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5" w:type="dxa"/>
            <w:vMerge w:val="continue"/>
          </w:tcPr>
          <w:p w14:paraId="7C6C9E56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E033BCE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port mirroring</w:t>
            </w:r>
          </w:p>
        </w:tc>
      </w:tr>
      <w:tr w14:paraId="1609BFB5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5" w:type="dxa"/>
            <w:vMerge w:val="continue"/>
          </w:tcPr>
          <w:p w14:paraId="43A3F93A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049CFFB0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one-click reset</w:t>
            </w:r>
          </w:p>
        </w:tc>
      </w:tr>
      <w:tr w14:paraId="453574D0">
        <w:tblPrEx>
          <w:tblBorders>
            <w:top w:val="single" w:color="2F5496" w:themeColor="accent1" w:themeShade="BF" w:sz="4" w:space="0"/>
            <w:left w:val="single" w:color="2F5496" w:themeColor="accent1" w:themeShade="BF" w:sz="4" w:space="0"/>
            <w:bottom w:val="single" w:color="2F5496" w:themeColor="accent1" w:themeShade="BF" w:sz="4" w:space="0"/>
            <w:right w:val="single" w:color="2F5496" w:themeColor="accent1" w:themeShade="BF" w:sz="4" w:space="0"/>
            <w:insideH w:val="single" w:color="2F5496" w:themeColor="accent1" w:themeShade="BF" w:sz="4" w:space="0"/>
            <w:insideV w:val="single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55" w:type="dxa"/>
            <w:vMerge w:val="continue"/>
          </w:tcPr>
          <w:p w14:paraId="0F0C4226">
            <w:pPr>
              <w:tabs>
                <w:tab w:val="left" w:pos="1650"/>
              </w:tabs>
              <w:spacing w:line="360" w:lineRule="auto"/>
              <w:jc w:val="center"/>
              <w:rPr>
                <w:rFonts w:hint="eastAsia"/>
                <w:color w:val="2F5597" w:themeColor="accent1" w:themeShade="BF"/>
              </w:rPr>
            </w:pPr>
          </w:p>
        </w:tc>
        <w:tc>
          <w:tcPr>
            <w:tcW w:w="6741" w:type="dxa"/>
          </w:tcPr>
          <w:p w14:paraId="6452528A">
            <w:pPr>
              <w:tabs>
                <w:tab w:val="left" w:pos="1650"/>
              </w:tabs>
              <w:spacing w:line="360" w:lineRule="auto"/>
              <w:rPr>
                <w:rFonts w:hint="eastAsia"/>
              </w:rPr>
            </w:pPr>
            <w:r>
              <w:t xml:space="preserve">• </w:t>
            </w:r>
            <w:r>
              <w:rPr>
                <w:rFonts w:hint="eastAsia"/>
              </w:rPr>
              <w:t>Supports four sets of RMON: 1, 2, 3, and 9</w:t>
            </w:r>
          </w:p>
        </w:tc>
      </w:tr>
    </w:tbl>
    <w:p w14:paraId="2ECF32FE">
      <w:pPr>
        <w:spacing w:line="720" w:lineRule="auto"/>
        <w:rPr>
          <w:rFonts w:hint="eastAsia"/>
          <w:b/>
          <w:bCs/>
          <w:color w:val="FFFFFF" w:themeColor="background1"/>
          <w:sz w:val="24"/>
          <w:szCs w:val="24"/>
          <w14:textFill>
            <w14:solidFill>
              <w14:schemeClr w14:val="bg1"/>
            </w14:solidFill>
          </w14:textFill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B586F">
    <w:pPr>
      <w:pStyle w:val="3"/>
      <w:ind w:firstLine="180" w:firstLineChars="100"/>
      <w:jc w:val="both"/>
      <w:rPr>
        <w:rFonts w:hint="eastAsia"/>
      </w:rPr>
    </w:pPr>
    <w:r>
      <w:rPr>
        <w:rFonts w:hint="eastAsia"/>
      </w:rPr>
      <w:t>2.5G 24-Port Gigabit Ethernet 2-Port 10 Gigabit Ethernet L3 Managed Commercial PoE Switch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JkNTdkNTY5Njk4YjU4Mzc1NjhiMjdjNmIxNDgyNTQifQ=="/>
  </w:docVars>
  <w:rsids>
    <w:rsidRoot w:val="00142BD0"/>
    <w:rsid w:val="0004359A"/>
    <w:rsid w:val="000537F5"/>
    <w:rsid w:val="00061ED5"/>
    <w:rsid w:val="000625E0"/>
    <w:rsid w:val="000767F9"/>
    <w:rsid w:val="000A65DA"/>
    <w:rsid w:val="000D5525"/>
    <w:rsid w:val="000E6DFB"/>
    <w:rsid w:val="000F09B2"/>
    <w:rsid w:val="000F37FE"/>
    <w:rsid w:val="001329E4"/>
    <w:rsid w:val="001358E3"/>
    <w:rsid w:val="00142BD0"/>
    <w:rsid w:val="00192638"/>
    <w:rsid w:val="001931B5"/>
    <w:rsid w:val="001932CF"/>
    <w:rsid w:val="001C6E36"/>
    <w:rsid w:val="001F0E1E"/>
    <w:rsid w:val="001F5141"/>
    <w:rsid w:val="002156C2"/>
    <w:rsid w:val="00224170"/>
    <w:rsid w:val="00227957"/>
    <w:rsid w:val="002434B2"/>
    <w:rsid w:val="00256914"/>
    <w:rsid w:val="00262182"/>
    <w:rsid w:val="00287A99"/>
    <w:rsid w:val="002E2675"/>
    <w:rsid w:val="00352B37"/>
    <w:rsid w:val="00363364"/>
    <w:rsid w:val="003772AF"/>
    <w:rsid w:val="00380627"/>
    <w:rsid w:val="003A6B73"/>
    <w:rsid w:val="003B7B7C"/>
    <w:rsid w:val="003C21F3"/>
    <w:rsid w:val="003C5D9D"/>
    <w:rsid w:val="003E7DCB"/>
    <w:rsid w:val="004128F2"/>
    <w:rsid w:val="004411FE"/>
    <w:rsid w:val="00466D01"/>
    <w:rsid w:val="00474C86"/>
    <w:rsid w:val="00493169"/>
    <w:rsid w:val="00497C5E"/>
    <w:rsid w:val="004B6D8F"/>
    <w:rsid w:val="004D0EAC"/>
    <w:rsid w:val="004D6E30"/>
    <w:rsid w:val="004E24F1"/>
    <w:rsid w:val="004F1602"/>
    <w:rsid w:val="0050158D"/>
    <w:rsid w:val="005122F0"/>
    <w:rsid w:val="00521C4C"/>
    <w:rsid w:val="0054429A"/>
    <w:rsid w:val="0054429C"/>
    <w:rsid w:val="00585EEC"/>
    <w:rsid w:val="005902B0"/>
    <w:rsid w:val="005B01B4"/>
    <w:rsid w:val="005B4635"/>
    <w:rsid w:val="005B5A0E"/>
    <w:rsid w:val="005C4135"/>
    <w:rsid w:val="006310AB"/>
    <w:rsid w:val="00653945"/>
    <w:rsid w:val="006718F5"/>
    <w:rsid w:val="006D35B7"/>
    <w:rsid w:val="00704409"/>
    <w:rsid w:val="0070769B"/>
    <w:rsid w:val="007508A4"/>
    <w:rsid w:val="007628A4"/>
    <w:rsid w:val="00775F95"/>
    <w:rsid w:val="007910CC"/>
    <w:rsid w:val="007D4977"/>
    <w:rsid w:val="007F50E2"/>
    <w:rsid w:val="00870699"/>
    <w:rsid w:val="0088692B"/>
    <w:rsid w:val="008978A2"/>
    <w:rsid w:val="008A1494"/>
    <w:rsid w:val="008D096A"/>
    <w:rsid w:val="008E34BB"/>
    <w:rsid w:val="008E4D5C"/>
    <w:rsid w:val="008E5F98"/>
    <w:rsid w:val="009438C2"/>
    <w:rsid w:val="00983D1E"/>
    <w:rsid w:val="009840D3"/>
    <w:rsid w:val="00992870"/>
    <w:rsid w:val="009C08DE"/>
    <w:rsid w:val="009E0BEA"/>
    <w:rsid w:val="00A27DEE"/>
    <w:rsid w:val="00A4335C"/>
    <w:rsid w:val="00A46C6C"/>
    <w:rsid w:val="00A50795"/>
    <w:rsid w:val="00A54726"/>
    <w:rsid w:val="00A701C9"/>
    <w:rsid w:val="00A70FC6"/>
    <w:rsid w:val="00A74375"/>
    <w:rsid w:val="00A84BDB"/>
    <w:rsid w:val="00AF517F"/>
    <w:rsid w:val="00B352F4"/>
    <w:rsid w:val="00B4152C"/>
    <w:rsid w:val="00B43DAB"/>
    <w:rsid w:val="00B51167"/>
    <w:rsid w:val="00B6005B"/>
    <w:rsid w:val="00BA4FB8"/>
    <w:rsid w:val="00BB30C1"/>
    <w:rsid w:val="00BD3DAD"/>
    <w:rsid w:val="00BF522E"/>
    <w:rsid w:val="00C0347E"/>
    <w:rsid w:val="00C445D0"/>
    <w:rsid w:val="00C84801"/>
    <w:rsid w:val="00CA4F18"/>
    <w:rsid w:val="00CB606E"/>
    <w:rsid w:val="00CB6E85"/>
    <w:rsid w:val="00D67E1A"/>
    <w:rsid w:val="00D71D4E"/>
    <w:rsid w:val="00D74731"/>
    <w:rsid w:val="00D75DF4"/>
    <w:rsid w:val="00DB4FB4"/>
    <w:rsid w:val="00E03928"/>
    <w:rsid w:val="00E07C67"/>
    <w:rsid w:val="00E139F8"/>
    <w:rsid w:val="00E27E9A"/>
    <w:rsid w:val="00E32216"/>
    <w:rsid w:val="00E401A8"/>
    <w:rsid w:val="00E41260"/>
    <w:rsid w:val="00E47C09"/>
    <w:rsid w:val="00E5543F"/>
    <w:rsid w:val="00E650A1"/>
    <w:rsid w:val="00EA0041"/>
    <w:rsid w:val="00EB33DA"/>
    <w:rsid w:val="00EF56D1"/>
    <w:rsid w:val="00F24D96"/>
    <w:rsid w:val="00F30BE3"/>
    <w:rsid w:val="00F603CB"/>
    <w:rsid w:val="00F714D5"/>
    <w:rsid w:val="00F965CA"/>
    <w:rsid w:val="00FD7063"/>
    <w:rsid w:val="0A2C3A8A"/>
    <w:rsid w:val="1AA850D7"/>
    <w:rsid w:val="6B5B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513</Words>
  <Characters>789</Characters>
  <Lines>18</Lines>
  <Paragraphs>5</Paragraphs>
  <TotalTime>22</TotalTime>
  <ScaleCrop>false</ScaleCrop>
  <LinksUpToDate>false</LinksUpToDate>
  <CharactersWithSpaces>855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2023-05-06T06:45:00Z</dcterms:created>
  <dc:creator>Li Morris</dc:creator>
  <cp:lastModifiedBy>雅妮</cp:lastModifiedBy>
  <dcterms:modified xsi:type="dcterms:W3CDTF">2026-01-12T07:52:01Z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884E4694F30B45E8814130C4C8095936_12</vt:lpwstr>
  </property>
  <property fmtid="{D5CDD505-2E9C-101B-9397-08002B2CF9AE}" pid="4" name="KSOTemplateDocerSaveRecord">
    <vt:lpwstr>eyJoZGlkIjoiYWY5ZTg0ZmU5ZTJiYTAwZWY5OTA5ZTQzYzUzMmE0MDQiLCJ1c2VySWQiOiIyNzc1MDM5ODcifQ==</vt:lpwstr>
  </property>
</Properties>
</file>